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A41BC" w14:textId="4DB63CF4" w:rsidR="00AA7E7F" w:rsidRPr="005F469C" w:rsidRDefault="00AA7E7F" w:rsidP="00AA7E7F">
      <w:pPr>
        <w:spacing w:after="0" w:line="240" w:lineRule="auto"/>
        <w:rPr>
          <w:rFonts w:eastAsia="Calibri" w:cstheme="minorHAnsi"/>
          <w:b/>
          <w:sz w:val="28"/>
          <w:szCs w:val="28"/>
        </w:rPr>
      </w:pPr>
      <w:r w:rsidRPr="000F6CEC">
        <w:rPr>
          <w:rFonts w:eastAsia="Calibri" w:cstheme="minorHAnsi"/>
          <w:b/>
          <w:sz w:val="28"/>
          <w:szCs w:val="28"/>
        </w:rPr>
        <w:t>The Royal Air Force………………..</w:t>
      </w:r>
      <w:r w:rsidR="00ED6352">
        <w:rPr>
          <w:rFonts w:eastAsia="Calibri" w:cstheme="minorHAnsi"/>
          <w:b/>
          <w:sz w:val="28"/>
          <w:szCs w:val="28"/>
        </w:rPr>
        <w:t xml:space="preserve"> Association</w:t>
      </w:r>
    </w:p>
    <w:p w14:paraId="75110B43" w14:textId="77777777" w:rsidR="00AA7E7F" w:rsidRDefault="00AA7E7F" w:rsidP="005F469C">
      <w:pPr>
        <w:rPr>
          <w:rFonts w:cstheme="minorHAnsi"/>
          <w:b/>
          <w:sz w:val="28"/>
          <w:szCs w:val="28"/>
        </w:rPr>
      </w:pPr>
    </w:p>
    <w:p w14:paraId="6F8782E6" w14:textId="77777777" w:rsidR="000738D1" w:rsidRPr="000F6CEC" w:rsidRDefault="000738D1" w:rsidP="000738D1">
      <w:pPr>
        <w:spacing w:after="0" w:line="240" w:lineRule="auto"/>
        <w:rPr>
          <w:rFonts w:cstheme="minorHAnsi"/>
          <w:b/>
          <w:sz w:val="28"/>
          <w:szCs w:val="28"/>
        </w:rPr>
      </w:pPr>
      <w:r w:rsidRPr="000F6CEC">
        <w:rPr>
          <w:rFonts w:cstheme="minorHAnsi"/>
          <w:b/>
          <w:sz w:val="28"/>
          <w:szCs w:val="28"/>
        </w:rPr>
        <w:t>Financial Review</w:t>
      </w:r>
    </w:p>
    <w:tbl>
      <w:tblPr>
        <w:tblStyle w:val="TableGrid"/>
        <w:tblW w:w="0" w:type="auto"/>
        <w:tblLook w:val="04A0" w:firstRow="1" w:lastRow="0" w:firstColumn="1" w:lastColumn="0" w:noHBand="0" w:noVBand="1"/>
      </w:tblPr>
      <w:tblGrid>
        <w:gridCol w:w="9016"/>
      </w:tblGrid>
      <w:tr w:rsidR="000738D1" w:rsidRPr="000F6CEC" w14:paraId="08B48D63" w14:textId="77777777" w:rsidTr="00F943F8">
        <w:tc>
          <w:tcPr>
            <w:tcW w:w="9016" w:type="dxa"/>
          </w:tcPr>
          <w:p w14:paraId="3CB5AC1A" w14:textId="77777777" w:rsidR="000738D1" w:rsidRPr="000F6CEC" w:rsidRDefault="000738D1" w:rsidP="00F943F8">
            <w:pPr>
              <w:rPr>
                <w:rFonts w:eastAsia="Calibri" w:cstheme="minorHAnsi"/>
                <w:b/>
              </w:rPr>
            </w:pPr>
            <w:r w:rsidRPr="000F6CEC">
              <w:rPr>
                <w:rFonts w:cstheme="minorHAnsi"/>
              </w:rPr>
              <w:t>Review of the charity’s financial position at the end of the period (SORP Para 1.21)</w:t>
            </w:r>
          </w:p>
          <w:p w14:paraId="20982AF4" w14:textId="77777777" w:rsidR="000738D1" w:rsidRPr="000F6CEC" w:rsidRDefault="000738D1" w:rsidP="00F943F8">
            <w:pPr>
              <w:rPr>
                <w:rFonts w:eastAsia="Calibri" w:cstheme="minorHAnsi"/>
                <w:b/>
              </w:rPr>
            </w:pPr>
          </w:p>
        </w:tc>
      </w:tr>
      <w:tr w:rsidR="000738D1" w:rsidRPr="000F6CEC" w14:paraId="341D80B4" w14:textId="77777777" w:rsidTr="00F943F8">
        <w:tc>
          <w:tcPr>
            <w:tcW w:w="9016" w:type="dxa"/>
          </w:tcPr>
          <w:p w14:paraId="11A0D207" w14:textId="77777777" w:rsidR="000738D1" w:rsidRPr="000F6CEC" w:rsidRDefault="000738D1" w:rsidP="00F943F8">
            <w:pPr>
              <w:rPr>
                <w:rFonts w:cstheme="minorHAnsi"/>
              </w:rPr>
            </w:pPr>
          </w:p>
          <w:p w14:paraId="61A61FD2" w14:textId="77777777" w:rsidR="000738D1" w:rsidRPr="000F6CEC" w:rsidRDefault="000738D1" w:rsidP="00F943F8">
            <w:pPr>
              <w:rPr>
                <w:rFonts w:cstheme="minorHAnsi"/>
              </w:rPr>
            </w:pPr>
          </w:p>
          <w:p w14:paraId="3D1FADDB" w14:textId="77777777" w:rsidR="000738D1" w:rsidRPr="000F6CEC" w:rsidRDefault="000738D1" w:rsidP="00F943F8">
            <w:pPr>
              <w:rPr>
                <w:rFonts w:cstheme="minorHAnsi"/>
              </w:rPr>
            </w:pPr>
          </w:p>
          <w:p w14:paraId="035D79FD" w14:textId="77777777" w:rsidR="000738D1" w:rsidRPr="000F6CEC" w:rsidRDefault="000738D1" w:rsidP="00F943F8">
            <w:pPr>
              <w:rPr>
                <w:rFonts w:cstheme="minorHAnsi"/>
              </w:rPr>
            </w:pPr>
          </w:p>
        </w:tc>
      </w:tr>
      <w:tr w:rsidR="000738D1" w:rsidRPr="000F6CEC" w14:paraId="365D7FC2" w14:textId="77777777" w:rsidTr="00F943F8">
        <w:tc>
          <w:tcPr>
            <w:tcW w:w="9016" w:type="dxa"/>
          </w:tcPr>
          <w:p w14:paraId="6ADF5028" w14:textId="77777777" w:rsidR="000738D1" w:rsidRPr="000F6CEC" w:rsidRDefault="000738D1" w:rsidP="00F943F8">
            <w:pPr>
              <w:rPr>
                <w:rFonts w:eastAsia="Calibri" w:cstheme="minorHAnsi"/>
                <w:b/>
              </w:rPr>
            </w:pPr>
            <w:r w:rsidRPr="000F6CEC">
              <w:rPr>
                <w:rFonts w:cstheme="minorHAnsi"/>
              </w:rPr>
              <w:t>Statement explaining the policy for holding reserves stating why they are held (SORP Para 1.22)</w:t>
            </w:r>
          </w:p>
          <w:p w14:paraId="1412F569" w14:textId="77777777" w:rsidR="000738D1" w:rsidRPr="000F6CEC" w:rsidRDefault="000738D1" w:rsidP="00F943F8">
            <w:pPr>
              <w:rPr>
                <w:rFonts w:eastAsia="Calibri" w:cstheme="minorHAnsi"/>
                <w:b/>
              </w:rPr>
            </w:pPr>
          </w:p>
        </w:tc>
      </w:tr>
      <w:tr w:rsidR="000738D1" w:rsidRPr="000F6CEC" w14:paraId="5C54C74E" w14:textId="77777777" w:rsidTr="00F943F8">
        <w:tc>
          <w:tcPr>
            <w:tcW w:w="9016" w:type="dxa"/>
          </w:tcPr>
          <w:p w14:paraId="3BFAFB4F" w14:textId="77777777" w:rsidR="000738D1" w:rsidRPr="000F6CEC" w:rsidRDefault="000738D1" w:rsidP="00F943F8">
            <w:pPr>
              <w:rPr>
                <w:rFonts w:cstheme="minorHAnsi"/>
              </w:rPr>
            </w:pPr>
          </w:p>
          <w:p w14:paraId="2687EAA1" w14:textId="77777777" w:rsidR="000738D1" w:rsidRPr="000F6CEC" w:rsidRDefault="000738D1" w:rsidP="00F943F8">
            <w:pPr>
              <w:rPr>
                <w:rFonts w:cstheme="minorHAnsi"/>
              </w:rPr>
            </w:pPr>
          </w:p>
          <w:p w14:paraId="4740EFAA" w14:textId="77777777" w:rsidR="000738D1" w:rsidRPr="000F6CEC" w:rsidRDefault="000738D1" w:rsidP="00F943F8">
            <w:pPr>
              <w:rPr>
                <w:rFonts w:cstheme="minorHAnsi"/>
              </w:rPr>
            </w:pPr>
          </w:p>
          <w:p w14:paraId="21372A0C" w14:textId="77777777" w:rsidR="000738D1" w:rsidRPr="000F6CEC" w:rsidRDefault="000738D1" w:rsidP="00F943F8">
            <w:pPr>
              <w:rPr>
                <w:rFonts w:cstheme="minorHAnsi"/>
              </w:rPr>
            </w:pPr>
          </w:p>
        </w:tc>
      </w:tr>
      <w:tr w:rsidR="000738D1" w:rsidRPr="000F6CEC" w14:paraId="2639EDEB" w14:textId="77777777" w:rsidTr="00F943F8">
        <w:tc>
          <w:tcPr>
            <w:tcW w:w="9016" w:type="dxa"/>
          </w:tcPr>
          <w:p w14:paraId="3B6ED6F9" w14:textId="77777777" w:rsidR="000738D1" w:rsidRPr="000F6CEC" w:rsidRDefault="000738D1" w:rsidP="000738D1">
            <w:pPr>
              <w:rPr>
                <w:rFonts w:eastAsia="Calibri" w:cstheme="minorHAnsi"/>
              </w:rPr>
            </w:pPr>
            <w:r w:rsidRPr="000F6CEC">
              <w:rPr>
                <w:rFonts w:eastAsia="Calibri" w:cstheme="minorHAnsi"/>
              </w:rPr>
              <w:t xml:space="preserve">Amount of reserves held </w:t>
            </w:r>
            <w:r w:rsidRPr="000F6CEC">
              <w:rPr>
                <w:rFonts w:cstheme="minorHAnsi"/>
              </w:rPr>
              <w:t>(SORP Para 1.22)</w:t>
            </w:r>
          </w:p>
        </w:tc>
      </w:tr>
      <w:tr w:rsidR="000738D1" w:rsidRPr="000F6CEC" w14:paraId="2D2D6D59" w14:textId="77777777" w:rsidTr="00F943F8">
        <w:tc>
          <w:tcPr>
            <w:tcW w:w="9016" w:type="dxa"/>
          </w:tcPr>
          <w:p w14:paraId="17691396" w14:textId="77777777" w:rsidR="000738D1" w:rsidRPr="000F6CEC" w:rsidRDefault="000738D1" w:rsidP="00F943F8">
            <w:pPr>
              <w:rPr>
                <w:rFonts w:cstheme="minorHAnsi"/>
              </w:rPr>
            </w:pPr>
          </w:p>
          <w:p w14:paraId="35211259" w14:textId="77777777" w:rsidR="000738D1" w:rsidRPr="000F6CEC" w:rsidRDefault="000738D1" w:rsidP="00F943F8">
            <w:pPr>
              <w:rPr>
                <w:rFonts w:cstheme="minorHAnsi"/>
              </w:rPr>
            </w:pPr>
          </w:p>
          <w:p w14:paraId="50C9A44B" w14:textId="77777777" w:rsidR="000738D1" w:rsidRPr="000F6CEC" w:rsidRDefault="000738D1" w:rsidP="00F943F8">
            <w:pPr>
              <w:rPr>
                <w:rFonts w:cstheme="minorHAnsi"/>
              </w:rPr>
            </w:pPr>
          </w:p>
          <w:p w14:paraId="62B0A16B" w14:textId="77777777" w:rsidR="000738D1" w:rsidRPr="000F6CEC" w:rsidRDefault="000738D1" w:rsidP="00F943F8">
            <w:pPr>
              <w:rPr>
                <w:rFonts w:cstheme="minorHAnsi"/>
              </w:rPr>
            </w:pPr>
          </w:p>
        </w:tc>
      </w:tr>
      <w:tr w:rsidR="000738D1" w:rsidRPr="000F6CEC" w14:paraId="2AF758E0" w14:textId="77777777" w:rsidTr="00F943F8">
        <w:tc>
          <w:tcPr>
            <w:tcW w:w="9016" w:type="dxa"/>
          </w:tcPr>
          <w:p w14:paraId="42C8C340" w14:textId="77777777" w:rsidR="000738D1" w:rsidRPr="000F6CEC" w:rsidRDefault="000738D1" w:rsidP="00F943F8">
            <w:pPr>
              <w:rPr>
                <w:rFonts w:eastAsia="Calibri" w:cstheme="minorHAnsi"/>
              </w:rPr>
            </w:pPr>
            <w:r w:rsidRPr="000F6CEC">
              <w:rPr>
                <w:rFonts w:eastAsia="Calibri" w:cstheme="minorHAnsi"/>
              </w:rPr>
              <w:t>Reasons for holding zero reserves (SORP Para 1.22)</w:t>
            </w:r>
          </w:p>
        </w:tc>
      </w:tr>
      <w:tr w:rsidR="000738D1" w:rsidRPr="000F6CEC" w14:paraId="5B9D8B3B" w14:textId="77777777" w:rsidTr="00F943F8">
        <w:tc>
          <w:tcPr>
            <w:tcW w:w="9016" w:type="dxa"/>
          </w:tcPr>
          <w:p w14:paraId="6E194F0E" w14:textId="77777777" w:rsidR="000738D1" w:rsidRPr="000F6CEC" w:rsidRDefault="000738D1" w:rsidP="00F943F8">
            <w:pPr>
              <w:rPr>
                <w:rFonts w:cstheme="minorHAnsi"/>
              </w:rPr>
            </w:pPr>
          </w:p>
          <w:p w14:paraId="5BFAC971" w14:textId="77777777" w:rsidR="000738D1" w:rsidRPr="000F6CEC" w:rsidRDefault="000738D1" w:rsidP="00F943F8">
            <w:pPr>
              <w:rPr>
                <w:rFonts w:cstheme="minorHAnsi"/>
              </w:rPr>
            </w:pPr>
          </w:p>
          <w:p w14:paraId="3F0EC98B" w14:textId="77777777" w:rsidR="000738D1" w:rsidRPr="000F6CEC" w:rsidRDefault="000738D1" w:rsidP="00F943F8">
            <w:pPr>
              <w:rPr>
                <w:rFonts w:cstheme="minorHAnsi"/>
              </w:rPr>
            </w:pPr>
          </w:p>
          <w:p w14:paraId="3556BD00" w14:textId="77777777" w:rsidR="000738D1" w:rsidRPr="000F6CEC" w:rsidRDefault="000738D1" w:rsidP="00F943F8">
            <w:pPr>
              <w:rPr>
                <w:rFonts w:cstheme="minorHAnsi"/>
              </w:rPr>
            </w:pPr>
          </w:p>
        </w:tc>
      </w:tr>
      <w:tr w:rsidR="000738D1" w:rsidRPr="000F6CEC" w14:paraId="1E505670" w14:textId="77777777" w:rsidTr="000738D1">
        <w:tc>
          <w:tcPr>
            <w:tcW w:w="9016" w:type="dxa"/>
          </w:tcPr>
          <w:p w14:paraId="45F3354B" w14:textId="77777777" w:rsidR="000738D1" w:rsidRPr="000F6CEC" w:rsidRDefault="000738D1" w:rsidP="000738D1">
            <w:pPr>
              <w:rPr>
                <w:rFonts w:eastAsia="Calibri" w:cstheme="minorHAnsi"/>
              </w:rPr>
            </w:pPr>
            <w:r w:rsidRPr="000F6CEC">
              <w:rPr>
                <w:rFonts w:eastAsia="Calibri" w:cstheme="minorHAnsi"/>
              </w:rPr>
              <w:t xml:space="preserve">Details of fund materially in deficit </w:t>
            </w:r>
            <w:r w:rsidRPr="000F6CEC">
              <w:rPr>
                <w:rFonts w:cstheme="minorHAnsi"/>
              </w:rPr>
              <w:t>(SORP Para 1.24)</w:t>
            </w:r>
          </w:p>
        </w:tc>
      </w:tr>
      <w:tr w:rsidR="000738D1" w:rsidRPr="000F6CEC" w14:paraId="2A97E96F" w14:textId="77777777" w:rsidTr="000738D1">
        <w:tc>
          <w:tcPr>
            <w:tcW w:w="9016" w:type="dxa"/>
          </w:tcPr>
          <w:p w14:paraId="0B10D883" w14:textId="77777777" w:rsidR="000738D1" w:rsidRPr="000F6CEC" w:rsidRDefault="000738D1" w:rsidP="00F943F8">
            <w:pPr>
              <w:rPr>
                <w:rFonts w:cstheme="minorHAnsi"/>
              </w:rPr>
            </w:pPr>
          </w:p>
          <w:p w14:paraId="204EDA8E" w14:textId="77777777" w:rsidR="000738D1" w:rsidRPr="000F6CEC" w:rsidRDefault="000738D1" w:rsidP="00F943F8">
            <w:pPr>
              <w:rPr>
                <w:rFonts w:cstheme="minorHAnsi"/>
              </w:rPr>
            </w:pPr>
          </w:p>
          <w:p w14:paraId="0C233F93" w14:textId="77777777" w:rsidR="000738D1" w:rsidRPr="000F6CEC" w:rsidRDefault="000738D1" w:rsidP="00F943F8">
            <w:pPr>
              <w:rPr>
                <w:rFonts w:cstheme="minorHAnsi"/>
              </w:rPr>
            </w:pPr>
          </w:p>
          <w:p w14:paraId="3F4A908B" w14:textId="77777777" w:rsidR="000738D1" w:rsidRPr="000F6CEC" w:rsidRDefault="000738D1" w:rsidP="00F943F8">
            <w:pPr>
              <w:rPr>
                <w:rFonts w:cstheme="minorHAnsi"/>
              </w:rPr>
            </w:pPr>
          </w:p>
        </w:tc>
      </w:tr>
      <w:tr w:rsidR="000738D1" w:rsidRPr="000F6CEC" w14:paraId="3F5D54E7" w14:textId="77777777" w:rsidTr="000738D1">
        <w:tc>
          <w:tcPr>
            <w:tcW w:w="9016" w:type="dxa"/>
          </w:tcPr>
          <w:p w14:paraId="20E2FF00" w14:textId="77777777" w:rsidR="000738D1" w:rsidRPr="000F6CEC" w:rsidRDefault="000738D1" w:rsidP="000738D1">
            <w:pPr>
              <w:rPr>
                <w:rFonts w:eastAsia="Calibri" w:cstheme="minorHAnsi"/>
              </w:rPr>
            </w:pPr>
            <w:r w:rsidRPr="000F6CEC">
              <w:rPr>
                <w:rFonts w:eastAsia="Calibri" w:cstheme="minorHAnsi"/>
              </w:rPr>
              <w:t>Explanation of any uncertainties about the charity continuing as a going concern (SORP Para 1.23)</w:t>
            </w:r>
          </w:p>
        </w:tc>
      </w:tr>
      <w:tr w:rsidR="000738D1" w:rsidRPr="000F6CEC" w14:paraId="62CF1EEA" w14:textId="77777777" w:rsidTr="000738D1">
        <w:tc>
          <w:tcPr>
            <w:tcW w:w="9016" w:type="dxa"/>
          </w:tcPr>
          <w:p w14:paraId="7A8EFAB4" w14:textId="77777777" w:rsidR="000738D1" w:rsidRPr="000F6CEC" w:rsidRDefault="000738D1" w:rsidP="00F943F8">
            <w:pPr>
              <w:rPr>
                <w:rFonts w:cstheme="minorHAnsi"/>
              </w:rPr>
            </w:pPr>
          </w:p>
          <w:p w14:paraId="58FA2AA2" w14:textId="77777777" w:rsidR="009D70BE" w:rsidRDefault="009D70BE" w:rsidP="009D70BE">
            <w:pPr>
              <w:rPr>
                <w:rFonts w:eastAsia="Calibri" w:cstheme="minorHAnsi"/>
              </w:rPr>
            </w:pPr>
            <w:r>
              <w:rPr>
                <w:rFonts w:eastAsia="Calibri" w:cstheme="minorHAnsi"/>
              </w:rPr>
              <w:t>As disclosed earlier within this report the trustees of the Association have determined that it is in the best interests of the charity to merge with the Royal Air Force Central Fund. As of the date of transfer the Association will no longer exist as a standalone entity but will operate and deliver its activity within the charitable operating framework of the Royal Air Force Central Fund.</w:t>
            </w:r>
          </w:p>
          <w:p w14:paraId="5A61538D" w14:textId="77777777" w:rsidR="000738D1" w:rsidRPr="000F6CEC" w:rsidRDefault="000738D1" w:rsidP="00F943F8">
            <w:pPr>
              <w:rPr>
                <w:rFonts w:cstheme="minorHAnsi"/>
              </w:rPr>
            </w:pPr>
          </w:p>
        </w:tc>
      </w:tr>
    </w:tbl>
    <w:p w14:paraId="3EE1D6EB" w14:textId="77777777" w:rsidR="000738D1" w:rsidRPr="000F6CEC" w:rsidRDefault="000738D1" w:rsidP="005F469C">
      <w:pPr>
        <w:rPr>
          <w:rFonts w:cstheme="minorHAnsi"/>
        </w:rPr>
      </w:pPr>
    </w:p>
    <w:p w14:paraId="78FEBC06" w14:textId="77777777" w:rsidR="000738D1" w:rsidRPr="000F6CEC" w:rsidRDefault="000738D1" w:rsidP="000738D1">
      <w:pPr>
        <w:spacing w:after="0" w:line="240" w:lineRule="auto"/>
        <w:rPr>
          <w:rFonts w:eastAsia="Calibri" w:cstheme="minorHAnsi"/>
          <w:b/>
        </w:rPr>
      </w:pPr>
    </w:p>
    <w:p w14:paraId="5F803D65" w14:textId="77777777" w:rsidR="000738D1" w:rsidRPr="000F6CEC" w:rsidRDefault="000738D1" w:rsidP="000738D1">
      <w:pPr>
        <w:spacing w:after="0" w:line="240" w:lineRule="auto"/>
        <w:rPr>
          <w:rFonts w:eastAsia="Calibri" w:cstheme="minorHAnsi"/>
          <w:b/>
        </w:rPr>
      </w:pPr>
    </w:p>
    <w:p w14:paraId="55C03869" w14:textId="77777777" w:rsidR="000738D1" w:rsidRPr="000F6CEC" w:rsidRDefault="000738D1" w:rsidP="000738D1">
      <w:pPr>
        <w:spacing w:after="0" w:line="240" w:lineRule="auto"/>
        <w:rPr>
          <w:rFonts w:eastAsia="Calibri" w:cstheme="minorHAnsi"/>
          <w:b/>
        </w:rPr>
      </w:pPr>
    </w:p>
    <w:p w14:paraId="4A41037D" w14:textId="77777777" w:rsidR="000738D1" w:rsidRPr="000F6CEC" w:rsidRDefault="000738D1" w:rsidP="000738D1">
      <w:pPr>
        <w:spacing w:after="0" w:line="240" w:lineRule="auto"/>
        <w:rPr>
          <w:rFonts w:eastAsia="Calibri" w:cstheme="minorHAnsi"/>
          <w:b/>
        </w:rPr>
      </w:pPr>
    </w:p>
    <w:p w14:paraId="3B2FA91A" w14:textId="77777777" w:rsidR="000738D1" w:rsidRPr="000F6CEC" w:rsidRDefault="000738D1" w:rsidP="000738D1">
      <w:pPr>
        <w:spacing w:after="0" w:line="240" w:lineRule="auto"/>
        <w:rPr>
          <w:rFonts w:eastAsia="Calibri" w:cstheme="minorHAnsi"/>
          <w:b/>
        </w:rPr>
      </w:pPr>
    </w:p>
    <w:p w14:paraId="2E772A5B" w14:textId="77777777" w:rsidR="000738D1" w:rsidRPr="000F6CEC" w:rsidRDefault="000738D1" w:rsidP="000738D1">
      <w:pPr>
        <w:spacing w:after="0" w:line="240" w:lineRule="auto"/>
        <w:rPr>
          <w:rFonts w:eastAsia="Calibri" w:cstheme="minorHAnsi"/>
          <w:b/>
        </w:rPr>
      </w:pPr>
    </w:p>
    <w:p w14:paraId="2CA0ABB8" w14:textId="77777777" w:rsidR="000738D1" w:rsidRPr="000F6CEC" w:rsidRDefault="000738D1" w:rsidP="000738D1">
      <w:pPr>
        <w:spacing w:after="0" w:line="240" w:lineRule="auto"/>
        <w:rPr>
          <w:rFonts w:eastAsia="Calibri" w:cstheme="minorHAnsi"/>
          <w:b/>
        </w:rPr>
      </w:pPr>
    </w:p>
    <w:p w14:paraId="2AE87056" w14:textId="77777777" w:rsidR="000738D1" w:rsidRPr="000F6CEC" w:rsidRDefault="000738D1" w:rsidP="000738D1">
      <w:pPr>
        <w:spacing w:after="0" w:line="240" w:lineRule="auto"/>
        <w:rPr>
          <w:rFonts w:eastAsia="Calibri" w:cstheme="minorHAnsi"/>
          <w:b/>
        </w:rPr>
      </w:pPr>
    </w:p>
    <w:p w14:paraId="322A5973" w14:textId="77777777" w:rsidR="000738D1" w:rsidRPr="000F6CEC" w:rsidRDefault="000738D1" w:rsidP="000738D1">
      <w:pPr>
        <w:spacing w:after="0" w:line="240" w:lineRule="auto"/>
        <w:rPr>
          <w:rFonts w:eastAsia="Calibri" w:cstheme="minorHAnsi"/>
          <w:b/>
        </w:rPr>
      </w:pPr>
    </w:p>
    <w:p w14:paraId="1DB67230" w14:textId="77777777" w:rsidR="000738D1" w:rsidRPr="000F6CEC" w:rsidRDefault="000738D1" w:rsidP="000738D1">
      <w:pPr>
        <w:spacing w:after="0" w:line="240" w:lineRule="auto"/>
        <w:rPr>
          <w:rFonts w:eastAsia="Calibri" w:cstheme="minorHAnsi"/>
          <w:b/>
        </w:rPr>
      </w:pPr>
    </w:p>
    <w:p w14:paraId="7B475401" w14:textId="77777777" w:rsidR="000738D1" w:rsidRPr="005F469C" w:rsidRDefault="000738D1" w:rsidP="000738D1">
      <w:pPr>
        <w:spacing w:after="0" w:line="240" w:lineRule="auto"/>
        <w:rPr>
          <w:rFonts w:eastAsia="Calibri" w:cstheme="minorHAnsi"/>
          <w:b/>
        </w:rPr>
      </w:pPr>
      <w:r w:rsidRPr="005F469C">
        <w:rPr>
          <w:rFonts w:eastAsia="Calibri" w:cstheme="minorHAnsi"/>
          <w:b/>
        </w:rPr>
        <w:t>Additional information (optional)</w:t>
      </w:r>
    </w:p>
    <w:tbl>
      <w:tblPr>
        <w:tblStyle w:val="TableGrid"/>
        <w:tblW w:w="0" w:type="auto"/>
        <w:tblLook w:val="04A0" w:firstRow="1" w:lastRow="0" w:firstColumn="1" w:lastColumn="0" w:noHBand="0" w:noVBand="1"/>
      </w:tblPr>
      <w:tblGrid>
        <w:gridCol w:w="9016"/>
      </w:tblGrid>
      <w:tr w:rsidR="000738D1" w:rsidRPr="000F6CEC" w14:paraId="5761A3C6" w14:textId="77777777" w:rsidTr="00F943F8">
        <w:tc>
          <w:tcPr>
            <w:tcW w:w="9016" w:type="dxa"/>
          </w:tcPr>
          <w:p w14:paraId="7A6EAFE2" w14:textId="77777777" w:rsidR="000738D1" w:rsidRPr="000F6CEC" w:rsidRDefault="007E69E8" w:rsidP="00F943F8">
            <w:pPr>
              <w:rPr>
                <w:rFonts w:eastAsia="Calibri" w:cstheme="minorHAnsi"/>
                <w:b/>
                <w:sz w:val="24"/>
                <w:szCs w:val="24"/>
              </w:rPr>
            </w:pPr>
            <w:r w:rsidRPr="000F6CEC">
              <w:rPr>
                <w:rFonts w:cstheme="minorHAnsi"/>
              </w:rPr>
              <w:t xml:space="preserve">The charity’s principal sources of funds (including any fundraising) </w:t>
            </w:r>
            <w:r w:rsidR="000738D1" w:rsidRPr="000F6CEC">
              <w:rPr>
                <w:rFonts w:cstheme="minorHAnsi"/>
              </w:rPr>
              <w:t>(SORP Para 1.</w:t>
            </w:r>
            <w:r w:rsidRPr="000F6CEC">
              <w:rPr>
                <w:rFonts w:cstheme="minorHAnsi"/>
              </w:rPr>
              <w:t>47)</w:t>
            </w:r>
          </w:p>
          <w:p w14:paraId="035E6552" w14:textId="77777777" w:rsidR="000738D1" w:rsidRPr="000F6CEC" w:rsidRDefault="000738D1" w:rsidP="00F943F8">
            <w:pPr>
              <w:rPr>
                <w:rFonts w:eastAsia="Calibri" w:cstheme="minorHAnsi"/>
                <w:b/>
                <w:sz w:val="24"/>
                <w:szCs w:val="24"/>
              </w:rPr>
            </w:pPr>
          </w:p>
        </w:tc>
      </w:tr>
      <w:tr w:rsidR="000738D1" w:rsidRPr="000F6CEC" w14:paraId="1D0FA30F" w14:textId="77777777" w:rsidTr="00F943F8">
        <w:tc>
          <w:tcPr>
            <w:tcW w:w="9016" w:type="dxa"/>
          </w:tcPr>
          <w:p w14:paraId="57D4CA7B" w14:textId="77777777" w:rsidR="000738D1" w:rsidRPr="000F6CEC" w:rsidRDefault="000738D1" w:rsidP="00F943F8">
            <w:pPr>
              <w:rPr>
                <w:rFonts w:cstheme="minorHAnsi"/>
              </w:rPr>
            </w:pPr>
          </w:p>
          <w:p w14:paraId="1968AB93" w14:textId="77777777" w:rsidR="000738D1" w:rsidRPr="000F6CEC" w:rsidRDefault="000738D1" w:rsidP="00F943F8">
            <w:pPr>
              <w:rPr>
                <w:rFonts w:cstheme="minorHAnsi"/>
              </w:rPr>
            </w:pPr>
          </w:p>
          <w:p w14:paraId="5F8AE68A" w14:textId="77777777" w:rsidR="000738D1" w:rsidRPr="000F6CEC" w:rsidRDefault="000738D1" w:rsidP="00F943F8">
            <w:pPr>
              <w:rPr>
                <w:rFonts w:cstheme="minorHAnsi"/>
              </w:rPr>
            </w:pPr>
          </w:p>
          <w:p w14:paraId="6EBB288D" w14:textId="77777777" w:rsidR="000738D1" w:rsidRPr="000F6CEC" w:rsidRDefault="000738D1" w:rsidP="00F943F8">
            <w:pPr>
              <w:rPr>
                <w:rFonts w:cstheme="minorHAnsi"/>
              </w:rPr>
            </w:pPr>
          </w:p>
        </w:tc>
      </w:tr>
      <w:tr w:rsidR="000738D1" w:rsidRPr="000F6CEC" w14:paraId="28E5E56D" w14:textId="77777777" w:rsidTr="00F943F8">
        <w:tc>
          <w:tcPr>
            <w:tcW w:w="9016" w:type="dxa"/>
          </w:tcPr>
          <w:p w14:paraId="7BEF3769" w14:textId="77777777" w:rsidR="000738D1" w:rsidRPr="000F6CEC" w:rsidRDefault="007E69E8" w:rsidP="00F943F8">
            <w:pPr>
              <w:rPr>
                <w:rFonts w:eastAsia="Calibri" w:cstheme="minorHAnsi"/>
                <w:b/>
                <w:sz w:val="24"/>
                <w:szCs w:val="24"/>
              </w:rPr>
            </w:pPr>
            <w:r w:rsidRPr="000F6CEC">
              <w:rPr>
                <w:rFonts w:cstheme="minorHAnsi"/>
              </w:rPr>
              <w:t xml:space="preserve">Investment policy and objectives including any social investment policy adopted </w:t>
            </w:r>
            <w:r w:rsidR="000738D1" w:rsidRPr="000F6CEC">
              <w:rPr>
                <w:rFonts w:cstheme="minorHAnsi"/>
              </w:rPr>
              <w:t>(SORP Para 1.4</w:t>
            </w:r>
            <w:r w:rsidRPr="000F6CEC">
              <w:rPr>
                <w:rFonts w:cstheme="minorHAnsi"/>
              </w:rPr>
              <w:t>6</w:t>
            </w:r>
            <w:r w:rsidR="000738D1" w:rsidRPr="000F6CEC">
              <w:rPr>
                <w:rFonts w:cstheme="minorHAnsi"/>
              </w:rPr>
              <w:t>)</w:t>
            </w:r>
          </w:p>
          <w:p w14:paraId="232DA37E" w14:textId="77777777" w:rsidR="000738D1" w:rsidRPr="000F6CEC" w:rsidRDefault="000738D1" w:rsidP="00F943F8">
            <w:pPr>
              <w:rPr>
                <w:rFonts w:eastAsia="Calibri" w:cstheme="minorHAnsi"/>
                <w:b/>
                <w:sz w:val="24"/>
                <w:szCs w:val="24"/>
              </w:rPr>
            </w:pPr>
          </w:p>
        </w:tc>
      </w:tr>
      <w:tr w:rsidR="000738D1" w:rsidRPr="000F6CEC" w14:paraId="15D0DCD2" w14:textId="77777777" w:rsidTr="00F943F8">
        <w:tc>
          <w:tcPr>
            <w:tcW w:w="9016" w:type="dxa"/>
          </w:tcPr>
          <w:p w14:paraId="169F5979" w14:textId="77777777" w:rsidR="000738D1" w:rsidRPr="000F6CEC" w:rsidRDefault="000738D1" w:rsidP="00F943F8">
            <w:pPr>
              <w:rPr>
                <w:rFonts w:cstheme="minorHAnsi"/>
              </w:rPr>
            </w:pPr>
          </w:p>
          <w:p w14:paraId="7A382662" w14:textId="77777777" w:rsidR="000738D1" w:rsidRPr="000F6CEC" w:rsidRDefault="000738D1" w:rsidP="00F943F8">
            <w:pPr>
              <w:rPr>
                <w:rFonts w:cstheme="minorHAnsi"/>
              </w:rPr>
            </w:pPr>
          </w:p>
          <w:p w14:paraId="57257CFB" w14:textId="77777777" w:rsidR="000738D1" w:rsidRPr="000F6CEC" w:rsidRDefault="000738D1" w:rsidP="00F943F8">
            <w:pPr>
              <w:rPr>
                <w:rFonts w:cstheme="minorHAnsi"/>
              </w:rPr>
            </w:pPr>
          </w:p>
          <w:p w14:paraId="54387AEE" w14:textId="77777777" w:rsidR="000738D1" w:rsidRPr="000F6CEC" w:rsidRDefault="000738D1" w:rsidP="00F943F8">
            <w:pPr>
              <w:rPr>
                <w:rFonts w:cstheme="minorHAnsi"/>
              </w:rPr>
            </w:pPr>
          </w:p>
        </w:tc>
      </w:tr>
      <w:tr w:rsidR="000738D1" w:rsidRPr="000F6CEC" w14:paraId="0364A4D3" w14:textId="77777777" w:rsidTr="00F943F8">
        <w:tc>
          <w:tcPr>
            <w:tcW w:w="9016" w:type="dxa"/>
          </w:tcPr>
          <w:p w14:paraId="08B42E66" w14:textId="77777777" w:rsidR="000738D1" w:rsidRPr="000F6CEC" w:rsidRDefault="007E69E8" w:rsidP="00F943F8">
            <w:pPr>
              <w:rPr>
                <w:rFonts w:eastAsia="Calibri" w:cstheme="minorHAnsi"/>
                <w:sz w:val="24"/>
                <w:szCs w:val="24"/>
              </w:rPr>
            </w:pPr>
            <w:r w:rsidRPr="000F6CEC">
              <w:rPr>
                <w:rFonts w:eastAsia="Calibri" w:cstheme="minorHAnsi"/>
                <w:sz w:val="24"/>
                <w:szCs w:val="24"/>
              </w:rPr>
              <w:t xml:space="preserve">A description of the principal risks facing the charity </w:t>
            </w:r>
            <w:r w:rsidR="000738D1" w:rsidRPr="000F6CEC">
              <w:rPr>
                <w:rFonts w:cstheme="minorHAnsi"/>
              </w:rPr>
              <w:t>(SORP Para 1.</w:t>
            </w:r>
            <w:r w:rsidRPr="000F6CEC">
              <w:rPr>
                <w:rFonts w:cstheme="minorHAnsi"/>
              </w:rPr>
              <w:t>46</w:t>
            </w:r>
            <w:r w:rsidR="000738D1" w:rsidRPr="000F6CEC">
              <w:rPr>
                <w:rFonts w:cstheme="minorHAnsi"/>
              </w:rPr>
              <w:t>)</w:t>
            </w:r>
          </w:p>
        </w:tc>
      </w:tr>
      <w:tr w:rsidR="000738D1" w:rsidRPr="000F6CEC" w14:paraId="14074909" w14:textId="77777777" w:rsidTr="00F943F8">
        <w:tc>
          <w:tcPr>
            <w:tcW w:w="9016" w:type="dxa"/>
          </w:tcPr>
          <w:p w14:paraId="4713D4BF" w14:textId="77777777" w:rsidR="000738D1" w:rsidRPr="000F6CEC" w:rsidRDefault="000738D1" w:rsidP="00F943F8">
            <w:pPr>
              <w:rPr>
                <w:rFonts w:cstheme="minorHAnsi"/>
              </w:rPr>
            </w:pPr>
          </w:p>
          <w:p w14:paraId="17C8C2FC" w14:textId="77777777" w:rsidR="006E6A4B" w:rsidRPr="008C29C2" w:rsidRDefault="006E6A4B" w:rsidP="006E6A4B">
            <w:r>
              <w:t xml:space="preserve">The trustees have given due consideration to the risks facing the charity in the context of the merger with the Royal Air Force Central Fund at the end of this financial year as previously disclosed. The trustees are satisfied that they have properly disclosed the position of the Association to the Royal Air Force Central Fund and that any risks have been declared and are identified as tolerable and will be appropriately addressed by the merger and the subsequent charitable operating framework within the Royal Air Force Central Fund. </w:t>
            </w:r>
          </w:p>
          <w:p w14:paraId="0164D335" w14:textId="77777777" w:rsidR="000738D1" w:rsidRPr="000F6CEC" w:rsidRDefault="000738D1" w:rsidP="00F943F8">
            <w:pPr>
              <w:rPr>
                <w:rFonts w:cstheme="minorHAnsi"/>
              </w:rPr>
            </w:pPr>
          </w:p>
        </w:tc>
      </w:tr>
      <w:tr w:rsidR="000738D1" w:rsidRPr="000F6CEC" w14:paraId="18163923" w14:textId="77777777" w:rsidTr="00F943F8">
        <w:tc>
          <w:tcPr>
            <w:tcW w:w="9016" w:type="dxa"/>
          </w:tcPr>
          <w:p w14:paraId="76899B42" w14:textId="77777777" w:rsidR="000738D1" w:rsidRPr="000F6CEC" w:rsidRDefault="000738D1" w:rsidP="00F943F8">
            <w:pPr>
              <w:rPr>
                <w:rFonts w:eastAsia="Calibri" w:cstheme="minorHAnsi"/>
                <w:sz w:val="24"/>
                <w:szCs w:val="24"/>
              </w:rPr>
            </w:pPr>
            <w:r w:rsidRPr="000F6CEC">
              <w:rPr>
                <w:rFonts w:eastAsia="Calibri" w:cstheme="minorHAnsi"/>
                <w:sz w:val="24"/>
                <w:szCs w:val="24"/>
              </w:rPr>
              <w:t>Other</w:t>
            </w:r>
          </w:p>
        </w:tc>
      </w:tr>
      <w:tr w:rsidR="000738D1" w:rsidRPr="000F6CEC" w14:paraId="74790893" w14:textId="77777777" w:rsidTr="00F943F8">
        <w:tc>
          <w:tcPr>
            <w:tcW w:w="9016" w:type="dxa"/>
          </w:tcPr>
          <w:p w14:paraId="279AC337" w14:textId="77777777" w:rsidR="000738D1" w:rsidRPr="000F6CEC" w:rsidRDefault="000738D1" w:rsidP="00F943F8">
            <w:pPr>
              <w:rPr>
                <w:rFonts w:cstheme="minorHAnsi"/>
              </w:rPr>
            </w:pPr>
          </w:p>
          <w:p w14:paraId="773FE41A" w14:textId="77777777" w:rsidR="000738D1" w:rsidRPr="000F6CEC" w:rsidRDefault="000738D1" w:rsidP="00F943F8">
            <w:pPr>
              <w:rPr>
                <w:rFonts w:cstheme="minorHAnsi"/>
              </w:rPr>
            </w:pPr>
          </w:p>
          <w:p w14:paraId="691EB274" w14:textId="77777777" w:rsidR="000738D1" w:rsidRPr="000F6CEC" w:rsidRDefault="000738D1" w:rsidP="00F943F8">
            <w:pPr>
              <w:rPr>
                <w:rFonts w:cstheme="minorHAnsi"/>
              </w:rPr>
            </w:pPr>
          </w:p>
          <w:p w14:paraId="59B0F377" w14:textId="77777777" w:rsidR="000738D1" w:rsidRPr="000F6CEC" w:rsidRDefault="000738D1" w:rsidP="00F943F8">
            <w:pPr>
              <w:rPr>
                <w:rFonts w:cstheme="minorHAnsi"/>
              </w:rPr>
            </w:pPr>
          </w:p>
        </w:tc>
      </w:tr>
    </w:tbl>
    <w:p w14:paraId="624AE244" w14:textId="77777777" w:rsidR="000738D1" w:rsidRPr="000F6CEC" w:rsidRDefault="000738D1" w:rsidP="005F469C">
      <w:pPr>
        <w:rPr>
          <w:rFonts w:cstheme="minorHAnsi"/>
        </w:rPr>
      </w:pPr>
    </w:p>
    <w:p w14:paraId="6DD73613" w14:textId="77777777" w:rsidR="00B94E84" w:rsidRPr="00B94E84" w:rsidRDefault="00B94E84" w:rsidP="00B94E84">
      <w:pPr>
        <w:rPr>
          <w:rFonts w:cstheme="minorHAnsi"/>
          <w:b/>
        </w:rPr>
      </w:pPr>
      <w:r w:rsidRPr="00B94E84">
        <w:rPr>
          <w:rFonts w:cstheme="minorHAnsi"/>
          <w:b/>
        </w:rPr>
        <w:t>Declarations</w:t>
      </w:r>
    </w:p>
    <w:p w14:paraId="74425BE7" w14:textId="77777777" w:rsidR="00B94E84" w:rsidRPr="00B94E84" w:rsidRDefault="00B94E84" w:rsidP="00B94E84">
      <w:pPr>
        <w:rPr>
          <w:rFonts w:cstheme="minorHAnsi"/>
          <w:b/>
        </w:rPr>
      </w:pPr>
      <w:r w:rsidRPr="00B94E84">
        <w:rPr>
          <w:rFonts w:cstheme="minorHAnsi"/>
          <w:b/>
        </w:rPr>
        <w:t xml:space="preserve">The trustees declare that they have approved the trustees’ report above. </w:t>
      </w:r>
    </w:p>
    <w:p w14:paraId="30CCA76D" w14:textId="77777777" w:rsidR="00B94E84" w:rsidRPr="00B94E84" w:rsidRDefault="00B94E84" w:rsidP="00B94E84">
      <w:pPr>
        <w:rPr>
          <w:rFonts w:cstheme="minorHAnsi"/>
          <w:b/>
        </w:rPr>
      </w:pPr>
      <w:r w:rsidRPr="00B94E84">
        <w:rPr>
          <w:rFonts w:cstheme="minorHAnsi"/>
          <w:b/>
        </w:rPr>
        <w:t>Signed on behalf of the charity’s trustees</w:t>
      </w:r>
    </w:p>
    <w:tbl>
      <w:tblPr>
        <w:tblStyle w:val="TableGrid"/>
        <w:tblW w:w="0" w:type="auto"/>
        <w:tblLook w:val="04A0" w:firstRow="1" w:lastRow="0" w:firstColumn="1" w:lastColumn="0" w:noHBand="0" w:noVBand="1"/>
      </w:tblPr>
      <w:tblGrid>
        <w:gridCol w:w="3004"/>
        <w:gridCol w:w="3006"/>
        <w:gridCol w:w="3006"/>
      </w:tblGrid>
      <w:tr w:rsidR="00B94E84" w14:paraId="6C51F92E" w14:textId="77777777" w:rsidTr="00F943F8">
        <w:tc>
          <w:tcPr>
            <w:tcW w:w="3005" w:type="dxa"/>
          </w:tcPr>
          <w:p w14:paraId="363FD9D7" w14:textId="77777777" w:rsidR="00B94E84" w:rsidRDefault="00B94E84" w:rsidP="00F943F8">
            <w:pPr>
              <w:rPr>
                <w:rFonts w:cstheme="minorHAnsi"/>
              </w:rPr>
            </w:pPr>
          </w:p>
          <w:p w14:paraId="4A94CD65" w14:textId="77777777" w:rsidR="00B94E84" w:rsidRDefault="00B94E84" w:rsidP="00F943F8">
            <w:pPr>
              <w:rPr>
                <w:rFonts w:cstheme="minorHAnsi"/>
              </w:rPr>
            </w:pPr>
            <w:r>
              <w:rPr>
                <w:rFonts w:cstheme="minorHAnsi"/>
              </w:rPr>
              <w:t>Signature</w:t>
            </w:r>
          </w:p>
        </w:tc>
        <w:tc>
          <w:tcPr>
            <w:tcW w:w="3005" w:type="dxa"/>
          </w:tcPr>
          <w:p w14:paraId="49986FB0" w14:textId="77777777" w:rsidR="00B94E84" w:rsidRDefault="00B94E84" w:rsidP="00F943F8">
            <w:pPr>
              <w:rPr>
                <w:rFonts w:cstheme="minorHAnsi"/>
              </w:rPr>
            </w:pPr>
          </w:p>
        </w:tc>
        <w:tc>
          <w:tcPr>
            <w:tcW w:w="3006" w:type="dxa"/>
          </w:tcPr>
          <w:p w14:paraId="78017E2A" w14:textId="77777777" w:rsidR="00B94E84" w:rsidRDefault="00B94E84" w:rsidP="00F943F8">
            <w:pPr>
              <w:rPr>
                <w:rFonts w:cstheme="minorHAnsi"/>
              </w:rPr>
            </w:pPr>
          </w:p>
        </w:tc>
      </w:tr>
      <w:tr w:rsidR="00B94E84" w14:paraId="26DD4122" w14:textId="77777777" w:rsidTr="00F943F8">
        <w:tc>
          <w:tcPr>
            <w:tcW w:w="3005" w:type="dxa"/>
          </w:tcPr>
          <w:p w14:paraId="1FD15785" w14:textId="77777777" w:rsidR="00B94E84" w:rsidRDefault="00B94E84" w:rsidP="00F943F8">
            <w:pPr>
              <w:rPr>
                <w:rFonts w:cstheme="minorHAnsi"/>
              </w:rPr>
            </w:pPr>
          </w:p>
          <w:p w14:paraId="3D173BE5" w14:textId="77777777" w:rsidR="00B94E84" w:rsidRDefault="00B94E84" w:rsidP="00F943F8">
            <w:pPr>
              <w:rPr>
                <w:rFonts w:cstheme="minorHAnsi"/>
              </w:rPr>
            </w:pPr>
            <w:r>
              <w:rPr>
                <w:rFonts w:cstheme="minorHAnsi"/>
              </w:rPr>
              <w:t>Full Name</w:t>
            </w:r>
          </w:p>
        </w:tc>
        <w:tc>
          <w:tcPr>
            <w:tcW w:w="3005" w:type="dxa"/>
          </w:tcPr>
          <w:p w14:paraId="3F618AF8" w14:textId="77777777" w:rsidR="00B94E84" w:rsidRDefault="00B94E84" w:rsidP="00F943F8">
            <w:pPr>
              <w:rPr>
                <w:rFonts w:cstheme="minorHAnsi"/>
              </w:rPr>
            </w:pPr>
          </w:p>
        </w:tc>
        <w:tc>
          <w:tcPr>
            <w:tcW w:w="3006" w:type="dxa"/>
          </w:tcPr>
          <w:p w14:paraId="1C1D3093" w14:textId="77777777" w:rsidR="00B94E84" w:rsidRDefault="00B94E84" w:rsidP="00F943F8">
            <w:pPr>
              <w:rPr>
                <w:rFonts w:cstheme="minorHAnsi"/>
              </w:rPr>
            </w:pPr>
          </w:p>
        </w:tc>
      </w:tr>
      <w:tr w:rsidR="00B94E84" w14:paraId="082E6265" w14:textId="77777777" w:rsidTr="00F943F8">
        <w:tc>
          <w:tcPr>
            <w:tcW w:w="3005" w:type="dxa"/>
          </w:tcPr>
          <w:p w14:paraId="11188501" w14:textId="77777777" w:rsidR="00B94E84" w:rsidRDefault="00B94E84" w:rsidP="00F943F8">
            <w:pPr>
              <w:rPr>
                <w:rFonts w:cstheme="minorHAnsi"/>
              </w:rPr>
            </w:pPr>
          </w:p>
          <w:p w14:paraId="74B32E0F" w14:textId="77777777" w:rsidR="00B94E84" w:rsidRDefault="00B94E84" w:rsidP="00F943F8">
            <w:pPr>
              <w:rPr>
                <w:rFonts w:cstheme="minorHAnsi"/>
              </w:rPr>
            </w:pPr>
            <w:r>
              <w:rPr>
                <w:rFonts w:cstheme="minorHAnsi"/>
              </w:rPr>
              <w:t>Position</w:t>
            </w:r>
          </w:p>
        </w:tc>
        <w:tc>
          <w:tcPr>
            <w:tcW w:w="3005" w:type="dxa"/>
          </w:tcPr>
          <w:p w14:paraId="18FAE638" w14:textId="77777777" w:rsidR="00B94E84" w:rsidRDefault="00B94E84" w:rsidP="00F943F8">
            <w:pPr>
              <w:rPr>
                <w:rFonts w:cstheme="minorHAnsi"/>
              </w:rPr>
            </w:pPr>
          </w:p>
        </w:tc>
        <w:tc>
          <w:tcPr>
            <w:tcW w:w="3006" w:type="dxa"/>
          </w:tcPr>
          <w:p w14:paraId="6C5EB40E" w14:textId="77777777" w:rsidR="00B94E84" w:rsidRDefault="00B94E84" w:rsidP="00F943F8">
            <w:pPr>
              <w:rPr>
                <w:rFonts w:cstheme="minorHAnsi"/>
              </w:rPr>
            </w:pPr>
          </w:p>
        </w:tc>
      </w:tr>
      <w:tr w:rsidR="00B94E84" w14:paraId="75691862" w14:textId="77777777" w:rsidTr="00F943F8">
        <w:trPr>
          <w:gridAfter w:val="1"/>
          <w:wAfter w:w="3005" w:type="dxa"/>
        </w:trPr>
        <w:tc>
          <w:tcPr>
            <w:tcW w:w="3005" w:type="dxa"/>
          </w:tcPr>
          <w:p w14:paraId="76815FFB" w14:textId="77777777" w:rsidR="00B94E84" w:rsidRDefault="00B94E84" w:rsidP="00F943F8">
            <w:pPr>
              <w:rPr>
                <w:rFonts w:cstheme="minorHAnsi"/>
              </w:rPr>
            </w:pPr>
          </w:p>
          <w:p w14:paraId="5C4C0F3A" w14:textId="77777777" w:rsidR="00B94E84" w:rsidRDefault="00B94E84" w:rsidP="00F943F8">
            <w:pPr>
              <w:rPr>
                <w:rFonts w:cstheme="minorHAnsi"/>
              </w:rPr>
            </w:pPr>
            <w:r>
              <w:rPr>
                <w:rFonts w:cstheme="minorHAnsi"/>
              </w:rPr>
              <w:t>Date</w:t>
            </w:r>
          </w:p>
        </w:tc>
        <w:tc>
          <w:tcPr>
            <w:tcW w:w="3006" w:type="dxa"/>
          </w:tcPr>
          <w:p w14:paraId="6CF10566" w14:textId="77777777" w:rsidR="00B94E84" w:rsidRDefault="00B94E84" w:rsidP="00F943F8">
            <w:pPr>
              <w:rPr>
                <w:rFonts w:cstheme="minorHAnsi"/>
              </w:rPr>
            </w:pPr>
          </w:p>
        </w:tc>
      </w:tr>
    </w:tbl>
    <w:p w14:paraId="5BD94B08" w14:textId="77777777" w:rsidR="000738D1" w:rsidRPr="000F6CEC" w:rsidRDefault="000738D1" w:rsidP="005F469C">
      <w:pPr>
        <w:rPr>
          <w:rFonts w:cstheme="minorHAnsi"/>
        </w:rPr>
      </w:pPr>
    </w:p>
    <w:p w14:paraId="3A204D3F" w14:textId="77777777" w:rsidR="000738D1" w:rsidRPr="000F6CEC" w:rsidRDefault="000738D1" w:rsidP="005F469C">
      <w:pPr>
        <w:rPr>
          <w:rFonts w:cstheme="minorHAnsi"/>
        </w:rPr>
      </w:pPr>
    </w:p>
    <w:sectPr w:rsidR="000738D1" w:rsidRPr="000F6CE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192F6" w14:textId="77777777" w:rsidR="00D24895" w:rsidRDefault="00D24895" w:rsidP="00D24895">
      <w:pPr>
        <w:spacing w:after="0" w:line="240" w:lineRule="auto"/>
      </w:pPr>
      <w:r>
        <w:separator/>
      </w:r>
    </w:p>
  </w:endnote>
  <w:endnote w:type="continuationSeparator" w:id="0">
    <w:p w14:paraId="69AFD789" w14:textId="77777777" w:rsidR="00D24895" w:rsidRDefault="00D24895" w:rsidP="00D2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323916"/>
      <w:docPartObj>
        <w:docPartGallery w:val="Page Numbers (Bottom of Page)"/>
        <w:docPartUnique/>
      </w:docPartObj>
    </w:sdtPr>
    <w:sdtEndPr>
      <w:rPr>
        <w:noProof/>
      </w:rPr>
    </w:sdtEndPr>
    <w:sdtContent>
      <w:p w14:paraId="5B95ECD1" w14:textId="77777777" w:rsidR="00B619C8" w:rsidRDefault="00B619C8">
        <w:pPr>
          <w:pStyle w:val="Footer"/>
          <w:jc w:val="center"/>
        </w:pPr>
        <w:r>
          <w:fldChar w:fldCharType="begin"/>
        </w:r>
        <w:r>
          <w:instrText xml:space="preserve"> PAGE   \* MERGEFORMAT </w:instrText>
        </w:r>
        <w:r>
          <w:fldChar w:fldCharType="separate"/>
        </w:r>
        <w:r w:rsidR="00376BCE">
          <w:rPr>
            <w:noProof/>
          </w:rPr>
          <w:t>8</w:t>
        </w:r>
        <w:r>
          <w:rPr>
            <w:noProof/>
          </w:rPr>
          <w:fldChar w:fldCharType="end"/>
        </w:r>
      </w:p>
    </w:sdtContent>
  </w:sdt>
  <w:p w14:paraId="21AB01B1" w14:textId="77777777" w:rsidR="00B619C8" w:rsidRDefault="00B61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02D7A" w14:textId="77777777" w:rsidR="00D24895" w:rsidRDefault="00D24895" w:rsidP="00D24895">
      <w:pPr>
        <w:spacing w:after="0" w:line="240" w:lineRule="auto"/>
      </w:pPr>
      <w:r>
        <w:separator/>
      </w:r>
    </w:p>
  </w:footnote>
  <w:footnote w:type="continuationSeparator" w:id="0">
    <w:p w14:paraId="585F3263" w14:textId="77777777" w:rsidR="00D24895" w:rsidRDefault="00D24895" w:rsidP="00D24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B273" w14:textId="77777777" w:rsidR="000F6CEC" w:rsidRDefault="000F6CEC">
    <w:pPr>
      <w:pStyle w:val="Header"/>
      <w:rPr>
        <w:b/>
        <w:sz w:val="28"/>
        <w:szCs w:val="28"/>
      </w:rPr>
    </w:pPr>
    <w:r w:rsidRPr="000F6CEC">
      <w:rPr>
        <w:b/>
        <w:sz w:val="28"/>
        <w:szCs w:val="28"/>
      </w:rPr>
      <w:t xml:space="preserve">Trustees’ Annual Report </w:t>
    </w:r>
  </w:p>
  <w:p w14:paraId="6E339D4C" w14:textId="4837061D" w:rsidR="000F6CEC" w:rsidRPr="000F6CEC" w:rsidRDefault="000F6CEC">
    <w:pPr>
      <w:pStyle w:val="Header"/>
      <w:rPr>
        <w:b/>
        <w:sz w:val="28"/>
        <w:szCs w:val="28"/>
      </w:rPr>
    </w:pPr>
    <w:r w:rsidRPr="000F6CEC">
      <w:rPr>
        <w:b/>
        <w:sz w:val="28"/>
        <w:szCs w:val="28"/>
      </w:rPr>
      <w:t>for the period 1</w:t>
    </w:r>
    <w:r w:rsidRPr="000F6CEC">
      <w:rPr>
        <w:b/>
        <w:sz w:val="28"/>
        <w:szCs w:val="28"/>
        <w:vertAlign w:val="superscript"/>
      </w:rPr>
      <w:t>st</w:t>
    </w:r>
    <w:r w:rsidRPr="000F6CEC">
      <w:rPr>
        <w:b/>
        <w:sz w:val="28"/>
        <w:szCs w:val="28"/>
      </w:rPr>
      <w:t xml:space="preserve"> January 202</w:t>
    </w:r>
    <w:r w:rsidR="00242002">
      <w:rPr>
        <w:b/>
        <w:sz w:val="28"/>
        <w:szCs w:val="28"/>
      </w:rPr>
      <w:t>3</w:t>
    </w:r>
    <w:r w:rsidRPr="000F6CEC">
      <w:rPr>
        <w:b/>
        <w:sz w:val="28"/>
        <w:szCs w:val="28"/>
      </w:rPr>
      <w:t xml:space="preserve"> to 31</w:t>
    </w:r>
    <w:r w:rsidRPr="000F6CEC">
      <w:rPr>
        <w:b/>
        <w:sz w:val="28"/>
        <w:szCs w:val="28"/>
        <w:vertAlign w:val="superscript"/>
      </w:rPr>
      <w:t>st</w:t>
    </w:r>
    <w:r w:rsidRPr="000F6CEC">
      <w:rPr>
        <w:b/>
        <w:sz w:val="28"/>
        <w:szCs w:val="28"/>
      </w:rPr>
      <w:t xml:space="preserve"> December 202</w:t>
    </w:r>
    <w:r w:rsidR="00242002">
      <w:rPr>
        <w:b/>
        <w:sz w:val="28"/>
        <w:szCs w:val="28"/>
      </w:rPr>
      <w:t>3</w:t>
    </w:r>
  </w:p>
  <w:p w14:paraId="4D265D4D" w14:textId="77777777" w:rsidR="00D24895" w:rsidRDefault="00D24895">
    <w:pPr>
      <w:pStyle w:val="Header"/>
    </w:pPr>
    <w:r>
      <w:tab/>
    </w:r>
    <w:r>
      <w:tab/>
    </w:r>
    <w:r>
      <w:rPr>
        <w:noProof/>
        <w:lang w:eastAsia="en-GB"/>
      </w:rPr>
      <w:drawing>
        <wp:inline distT="0" distB="0" distL="0" distR="0" wp14:anchorId="2F454896" wp14:editId="0FFE7764">
          <wp:extent cx="1341120" cy="572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57277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69C"/>
    <w:rsid w:val="000738D1"/>
    <w:rsid w:val="000F6CEC"/>
    <w:rsid w:val="00242002"/>
    <w:rsid w:val="00376BCE"/>
    <w:rsid w:val="005F469C"/>
    <w:rsid w:val="006E1910"/>
    <w:rsid w:val="006E6A4B"/>
    <w:rsid w:val="007C4752"/>
    <w:rsid w:val="007E69E8"/>
    <w:rsid w:val="008C648B"/>
    <w:rsid w:val="009D70BE"/>
    <w:rsid w:val="00AA7E7F"/>
    <w:rsid w:val="00B05FEB"/>
    <w:rsid w:val="00B45321"/>
    <w:rsid w:val="00B619C8"/>
    <w:rsid w:val="00B94E84"/>
    <w:rsid w:val="00BB0B8E"/>
    <w:rsid w:val="00BD687D"/>
    <w:rsid w:val="00C3303F"/>
    <w:rsid w:val="00C751B4"/>
    <w:rsid w:val="00D24895"/>
    <w:rsid w:val="00DB51C4"/>
    <w:rsid w:val="00ED6352"/>
    <w:rsid w:val="00F37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B29FD4"/>
  <w15:chartTrackingRefBased/>
  <w15:docId w15:val="{193F5928-1C06-40F1-8849-2163DECF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9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895"/>
  </w:style>
  <w:style w:type="paragraph" w:styleId="Footer">
    <w:name w:val="footer"/>
    <w:basedOn w:val="Normal"/>
    <w:link w:val="FooterChar"/>
    <w:uiPriority w:val="99"/>
    <w:unhideWhenUsed/>
    <w:rsid w:val="00D2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895"/>
  </w:style>
  <w:style w:type="table" w:customStyle="1" w:styleId="TableGrid1">
    <w:name w:val="Table Grid1"/>
    <w:basedOn w:val="TableNormal"/>
    <w:next w:val="TableGrid"/>
    <w:uiPriority w:val="59"/>
    <w:rsid w:val="000F6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1910"/>
    <w:rPr>
      <w:sz w:val="16"/>
      <w:szCs w:val="16"/>
    </w:rPr>
  </w:style>
  <w:style w:type="paragraph" w:styleId="CommentText">
    <w:name w:val="annotation text"/>
    <w:basedOn w:val="Normal"/>
    <w:link w:val="CommentTextChar"/>
    <w:uiPriority w:val="99"/>
    <w:semiHidden/>
    <w:unhideWhenUsed/>
    <w:rsid w:val="006E1910"/>
    <w:pPr>
      <w:spacing w:line="240" w:lineRule="auto"/>
    </w:pPr>
    <w:rPr>
      <w:sz w:val="20"/>
      <w:szCs w:val="20"/>
    </w:rPr>
  </w:style>
  <w:style w:type="character" w:customStyle="1" w:styleId="CommentTextChar">
    <w:name w:val="Comment Text Char"/>
    <w:basedOn w:val="DefaultParagraphFont"/>
    <w:link w:val="CommentText"/>
    <w:uiPriority w:val="99"/>
    <w:semiHidden/>
    <w:rsid w:val="006E1910"/>
    <w:rPr>
      <w:sz w:val="20"/>
      <w:szCs w:val="20"/>
    </w:rPr>
  </w:style>
  <w:style w:type="paragraph" w:styleId="CommentSubject">
    <w:name w:val="annotation subject"/>
    <w:basedOn w:val="CommentText"/>
    <w:next w:val="CommentText"/>
    <w:link w:val="CommentSubjectChar"/>
    <w:uiPriority w:val="99"/>
    <w:semiHidden/>
    <w:unhideWhenUsed/>
    <w:rsid w:val="006E1910"/>
    <w:rPr>
      <w:b/>
      <w:bCs/>
    </w:rPr>
  </w:style>
  <w:style w:type="character" w:customStyle="1" w:styleId="CommentSubjectChar">
    <w:name w:val="Comment Subject Char"/>
    <w:basedOn w:val="CommentTextChar"/>
    <w:link w:val="CommentSubject"/>
    <w:uiPriority w:val="99"/>
    <w:semiHidden/>
    <w:rsid w:val="006E1910"/>
    <w:rPr>
      <w:b/>
      <w:bCs/>
      <w:sz w:val="20"/>
      <w:szCs w:val="20"/>
    </w:rPr>
  </w:style>
  <w:style w:type="paragraph" w:styleId="BalloonText">
    <w:name w:val="Balloon Text"/>
    <w:basedOn w:val="Normal"/>
    <w:link w:val="BalloonTextChar"/>
    <w:uiPriority w:val="99"/>
    <w:semiHidden/>
    <w:unhideWhenUsed/>
    <w:rsid w:val="006E1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9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Hedley</dc:creator>
  <cp:keywords/>
  <dc:description/>
  <cp:lastModifiedBy>Claire Wallace</cp:lastModifiedBy>
  <cp:revision>4</cp:revision>
  <dcterms:created xsi:type="dcterms:W3CDTF">2023-11-16T09:53:00Z</dcterms:created>
  <dcterms:modified xsi:type="dcterms:W3CDTF">2023-11-16T09:54:00Z</dcterms:modified>
</cp:coreProperties>
</file>